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60"/>
      </w:tblGrid>
      <w:tr w:rsidR="00E218FE" w:rsidRPr="00E218FE" w:rsidTr="00E218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18FE">
              <w:rPr>
                <w:rFonts w:ascii="Times New Roman" w:hAnsi="Times New Roman" w:cs="Times New Roman"/>
                <w:b/>
                <w:sz w:val="32"/>
                <w:szCs w:val="32"/>
              </w:rPr>
              <w:t>ЭНРОКСИЛ</w:t>
            </w:r>
            <w:r w:rsidRPr="00E218F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  <w:r w:rsidRPr="00E218FE">
              <w:rPr>
                <w:rFonts w:ascii="Times New Roman" w:hAnsi="Times New Roman" w:cs="Times New Roman"/>
                <w:b/>
                <w:sz w:val="32"/>
                <w:szCs w:val="32"/>
              </w:rPr>
              <w:t> МАКС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218FE" w:rsidRPr="00E218FE" w:rsidRDefault="00E218FE" w:rsidP="00E218FE">
      <w:pPr>
        <w:spacing w:after="0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E218FE">
        <w:rPr>
          <w:rFonts w:ascii="Times New Roman" w:hAnsi="Times New Roman" w:cs="Times New Roman"/>
        </w:rPr>
        <w:t> прозрачный, желтого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0"/>
        <w:gridCol w:w="3075"/>
      </w:tblGrid>
      <w:tr w:rsidR="00E218FE" w:rsidRPr="00E218FE" w:rsidTr="00E218FE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rPr>
                <w:rFonts w:ascii="Times New Roman" w:hAnsi="Times New Roman" w:cs="Times New Roman"/>
              </w:rPr>
            </w:pPr>
            <w:r w:rsidRPr="00E218FE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E218FE" w:rsidRPr="00E218FE" w:rsidTr="00E218FE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218FE">
              <w:rPr>
                <w:rFonts w:ascii="Times New Roman" w:hAnsi="Times New Roman" w:cs="Times New Roman"/>
              </w:rPr>
              <w:t>энрофлоксацин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218FE" w:rsidRPr="00E218FE" w:rsidRDefault="00E218FE" w:rsidP="00E218FE">
            <w:pPr>
              <w:spacing w:after="0"/>
              <w:rPr>
                <w:rFonts w:ascii="Times New Roman" w:hAnsi="Times New Roman" w:cs="Times New Roman"/>
              </w:rPr>
            </w:pPr>
            <w:r w:rsidRPr="00E218FE">
              <w:rPr>
                <w:rFonts w:ascii="Times New Roman" w:hAnsi="Times New Roman" w:cs="Times New Roman"/>
              </w:rPr>
              <w:t>100 мг</w:t>
            </w:r>
          </w:p>
        </w:tc>
      </w:tr>
    </w:tbl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  <w:i/>
          <w:iCs/>
        </w:rPr>
        <w:t>Вспомогательные вещества</w:t>
      </w:r>
      <w:r w:rsidRPr="00E218FE">
        <w:rPr>
          <w:rFonts w:ascii="Times New Roman" w:hAnsi="Times New Roman" w:cs="Times New Roman"/>
        </w:rPr>
        <w:t xml:space="preserve">: </w:t>
      </w:r>
      <w:proofErr w:type="spellStart"/>
      <w:r w:rsidRPr="00E218FE">
        <w:rPr>
          <w:rFonts w:ascii="Times New Roman" w:hAnsi="Times New Roman" w:cs="Times New Roman"/>
        </w:rPr>
        <w:t>бензиловый</w:t>
      </w:r>
      <w:proofErr w:type="spellEnd"/>
      <w:r w:rsidRPr="00E218FE">
        <w:rPr>
          <w:rFonts w:ascii="Times New Roman" w:hAnsi="Times New Roman" w:cs="Times New Roman"/>
        </w:rPr>
        <w:t xml:space="preserve"> спирт, бутиловый спирт, аргинин, вода д/и.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Расфасован по 100 мл во флаконы из темного стекла, укупоренные резиновыми пробками, укрепленными алюминиевыми колпачками. Флаконы упакованы индивидуально в картонные коробки. Каждая упаковка снабжена инструкцией по применению.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Антибактериальный препарат группы </w:t>
      </w:r>
      <w:proofErr w:type="spellStart"/>
      <w:r w:rsidRPr="00E218FE">
        <w:rPr>
          <w:rFonts w:ascii="Times New Roman" w:hAnsi="Times New Roman" w:cs="Times New Roman"/>
        </w:rPr>
        <w:t>фторхинолонов</w:t>
      </w:r>
      <w:proofErr w:type="spellEnd"/>
      <w:r w:rsidRPr="00E218FE">
        <w:rPr>
          <w:rFonts w:ascii="Times New Roman" w:hAnsi="Times New Roman" w:cs="Times New Roman"/>
        </w:rPr>
        <w:t xml:space="preserve">. </w:t>
      </w:r>
      <w:proofErr w:type="spellStart"/>
      <w:r w:rsidRPr="00E218FE">
        <w:rPr>
          <w:rFonts w:ascii="Times New Roman" w:hAnsi="Times New Roman" w:cs="Times New Roman"/>
        </w:rPr>
        <w:t>Энрофлоксацин</w:t>
      </w:r>
      <w:proofErr w:type="spellEnd"/>
      <w:r w:rsidRPr="00E218FE">
        <w:rPr>
          <w:rFonts w:ascii="Times New Roman" w:hAnsi="Times New Roman" w:cs="Times New Roman"/>
        </w:rPr>
        <w:t xml:space="preserve">, входящий в состав лекарственного препарата, обладает широким спектром антибактериального и </w:t>
      </w:r>
      <w:proofErr w:type="spellStart"/>
      <w:r w:rsidRPr="00E218FE">
        <w:rPr>
          <w:rFonts w:ascii="Times New Roman" w:hAnsi="Times New Roman" w:cs="Times New Roman"/>
        </w:rPr>
        <w:t>антимикоплазменного</w:t>
      </w:r>
      <w:proofErr w:type="spellEnd"/>
      <w:r w:rsidRPr="00E218FE">
        <w:rPr>
          <w:rFonts w:ascii="Times New Roman" w:hAnsi="Times New Roman" w:cs="Times New Roman"/>
        </w:rPr>
        <w:t xml:space="preserve"> действия. </w:t>
      </w:r>
      <w:proofErr w:type="gramStart"/>
      <w:r w:rsidRPr="00E218FE">
        <w:rPr>
          <w:rFonts w:ascii="Times New Roman" w:hAnsi="Times New Roman" w:cs="Times New Roman"/>
          <w:i/>
          <w:iCs/>
        </w:rPr>
        <w:t>Активен</w:t>
      </w:r>
      <w:proofErr w:type="gramEnd"/>
      <w:r w:rsidRPr="00E218FE">
        <w:rPr>
          <w:rFonts w:ascii="Times New Roman" w:hAnsi="Times New Roman" w:cs="Times New Roman"/>
          <w:i/>
          <w:iCs/>
        </w:rPr>
        <w:t xml:space="preserve"> в отношении грамположительных и грамотрицательных микроорганизмов</w:t>
      </w:r>
      <w:r w:rsidRPr="00E218FE">
        <w:rPr>
          <w:rFonts w:ascii="Times New Roman" w:hAnsi="Times New Roman" w:cs="Times New Roman"/>
        </w:rPr>
        <w:t xml:space="preserve">, в </w:t>
      </w:r>
      <w:proofErr w:type="spellStart"/>
      <w:r w:rsidRPr="00E218FE">
        <w:rPr>
          <w:rFonts w:ascii="Times New Roman" w:hAnsi="Times New Roman" w:cs="Times New Roman"/>
        </w:rPr>
        <w:t>т.ч</w:t>
      </w:r>
      <w:proofErr w:type="spellEnd"/>
      <w:r w:rsidRPr="00E218FE">
        <w:rPr>
          <w:rFonts w:ascii="Times New Roman" w:hAnsi="Times New Roman" w:cs="Times New Roman"/>
        </w:rPr>
        <w:t xml:space="preserve">. </w:t>
      </w:r>
      <w:proofErr w:type="spellStart"/>
      <w:r w:rsidRPr="00E218FE">
        <w:rPr>
          <w:rFonts w:ascii="Times New Roman" w:hAnsi="Times New Roman" w:cs="Times New Roman"/>
        </w:rPr>
        <w:t>Escherichia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coli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Salmonella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Pasteurella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haemolytica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Pasteurella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multocida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Staphylococcus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aureus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Staphylococcus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hyicus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Streptococcus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Klebsiella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Pseudomonas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aeruginosa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Bordetella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bronchiseptica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Campylobacter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Corynebacterum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pyogenes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Proteus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Mycoplasma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Brucella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canis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Actinobacillus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Listeria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monocytogenes</w:t>
      </w:r>
      <w:proofErr w:type="spellEnd"/>
      <w:r w:rsidRPr="00E218FE">
        <w:rPr>
          <w:rFonts w:ascii="Times New Roman" w:hAnsi="Times New Roman" w:cs="Times New Roman"/>
        </w:rPr>
        <w:t xml:space="preserve">, </w:t>
      </w:r>
      <w:proofErr w:type="spellStart"/>
      <w:r w:rsidRPr="00E218FE">
        <w:rPr>
          <w:rFonts w:ascii="Times New Roman" w:hAnsi="Times New Roman" w:cs="Times New Roman"/>
        </w:rPr>
        <w:t>Haemophilus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spp</w:t>
      </w:r>
      <w:proofErr w:type="spellEnd"/>
      <w:r w:rsidRPr="00E218FE">
        <w:rPr>
          <w:rFonts w:ascii="Times New Roman" w:hAnsi="Times New Roman" w:cs="Times New Roman"/>
        </w:rPr>
        <w:t xml:space="preserve">., </w:t>
      </w:r>
      <w:proofErr w:type="spellStart"/>
      <w:r w:rsidRPr="00E218FE">
        <w:rPr>
          <w:rFonts w:ascii="Times New Roman" w:hAnsi="Times New Roman" w:cs="Times New Roman"/>
        </w:rPr>
        <w:t>Clostridium</w:t>
      </w:r>
      <w:proofErr w:type="spellEnd"/>
      <w:r w:rsidRPr="00E218FE">
        <w:rPr>
          <w:rFonts w:ascii="Times New Roman" w:hAnsi="Times New Roman" w:cs="Times New Roman"/>
        </w:rPr>
        <w:t xml:space="preserve"> </w:t>
      </w:r>
      <w:proofErr w:type="spellStart"/>
      <w:r w:rsidRPr="00E218FE">
        <w:rPr>
          <w:rFonts w:ascii="Times New Roman" w:hAnsi="Times New Roman" w:cs="Times New Roman"/>
        </w:rPr>
        <w:t>perfringens</w:t>
      </w:r>
      <w:proofErr w:type="spellEnd"/>
      <w:r w:rsidRPr="00E218FE">
        <w:rPr>
          <w:rFonts w:ascii="Times New Roman" w:hAnsi="Times New Roman" w:cs="Times New Roman"/>
        </w:rPr>
        <w:t>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Механизм действия </w:t>
      </w:r>
      <w:proofErr w:type="spellStart"/>
      <w:r w:rsidRPr="00E218FE">
        <w:rPr>
          <w:rFonts w:ascii="Times New Roman" w:hAnsi="Times New Roman" w:cs="Times New Roman"/>
        </w:rPr>
        <w:t>энрофлоксацина</w:t>
      </w:r>
      <w:proofErr w:type="spellEnd"/>
      <w:r w:rsidRPr="00E218FE">
        <w:rPr>
          <w:rFonts w:ascii="Times New Roman" w:hAnsi="Times New Roman" w:cs="Times New Roman"/>
        </w:rPr>
        <w:t xml:space="preserve"> заключается в ингибировании активности фермента </w:t>
      </w:r>
      <w:proofErr w:type="spellStart"/>
      <w:r w:rsidRPr="00E218FE">
        <w:rPr>
          <w:rFonts w:ascii="Times New Roman" w:hAnsi="Times New Roman" w:cs="Times New Roman"/>
        </w:rPr>
        <w:t>гиразы</w:t>
      </w:r>
      <w:proofErr w:type="spellEnd"/>
      <w:r w:rsidRPr="00E218FE">
        <w:rPr>
          <w:rFonts w:ascii="Times New Roman" w:hAnsi="Times New Roman" w:cs="Times New Roman"/>
        </w:rPr>
        <w:t>, обеспечивающего репликацию спирали ДНК в ядре бактериальной клетки, что приводит к гибели микроорганизма.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После </w:t>
      </w:r>
      <w:proofErr w:type="gramStart"/>
      <w:r w:rsidRPr="00E218FE">
        <w:rPr>
          <w:rFonts w:ascii="Times New Roman" w:hAnsi="Times New Roman" w:cs="Times New Roman"/>
        </w:rPr>
        <w:t>п</w:t>
      </w:r>
      <w:proofErr w:type="gramEnd"/>
      <w:r w:rsidRPr="00E218FE">
        <w:rPr>
          <w:rFonts w:ascii="Times New Roman" w:hAnsi="Times New Roman" w:cs="Times New Roman"/>
        </w:rPr>
        <w:t xml:space="preserve">/к и в/м введения препарата </w:t>
      </w:r>
      <w:proofErr w:type="spellStart"/>
      <w:r w:rsidRPr="00E218FE">
        <w:rPr>
          <w:rFonts w:ascii="Times New Roman" w:hAnsi="Times New Roman" w:cs="Times New Roman"/>
        </w:rPr>
        <w:t>энрофлоксацин</w:t>
      </w:r>
      <w:proofErr w:type="spellEnd"/>
      <w:r w:rsidRPr="00E218FE">
        <w:rPr>
          <w:rFonts w:ascii="Times New Roman" w:hAnsi="Times New Roman" w:cs="Times New Roman"/>
        </w:rPr>
        <w:t xml:space="preserve"> хорошо всасывается из места инъекции и проникает во все органы и ткани организма. Максимальная концентрация в крови достигается в среднем через 6 ч, антибактериальная концентрация поддерживается на протяжении 2 суток. </w:t>
      </w:r>
      <w:proofErr w:type="spellStart"/>
      <w:r w:rsidRPr="00E218FE">
        <w:rPr>
          <w:rFonts w:ascii="Times New Roman" w:hAnsi="Times New Roman" w:cs="Times New Roman"/>
        </w:rPr>
        <w:t>Энрофлоксацин</w:t>
      </w:r>
      <w:proofErr w:type="spellEnd"/>
      <w:r w:rsidRPr="00E218FE">
        <w:rPr>
          <w:rFonts w:ascii="Times New Roman" w:hAnsi="Times New Roman" w:cs="Times New Roman"/>
        </w:rPr>
        <w:t xml:space="preserve"> частично </w:t>
      </w:r>
      <w:proofErr w:type="spellStart"/>
      <w:r w:rsidRPr="00E218FE">
        <w:rPr>
          <w:rFonts w:ascii="Times New Roman" w:hAnsi="Times New Roman" w:cs="Times New Roman"/>
        </w:rPr>
        <w:t>метаболизируется</w:t>
      </w:r>
      <w:proofErr w:type="spellEnd"/>
      <w:r w:rsidRPr="00E218FE">
        <w:rPr>
          <w:rFonts w:ascii="Times New Roman" w:hAnsi="Times New Roman" w:cs="Times New Roman"/>
        </w:rPr>
        <w:t xml:space="preserve"> в печени и выводится из организма с мочой и желчью.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 по степени воздействия на организм относится к 4 классу опасности (вещества малоопасные) по ГОСТ 12.1.007.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Показания к применению препарата ЭНРОКСИЛ</w:t>
      </w:r>
      <w:r w:rsidRPr="00E218FE">
        <w:rPr>
          <w:rFonts w:ascii="Times New Roman" w:hAnsi="Times New Roman" w:cs="Times New Roman"/>
          <w:b/>
          <w:bCs/>
          <w:vertAlign w:val="superscript"/>
        </w:rPr>
        <w:t>®</w:t>
      </w:r>
      <w:r w:rsidRPr="00E218FE">
        <w:rPr>
          <w:rFonts w:ascii="Times New Roman" w:hAnsi="Times New Roman" w:cs="Times New Roman"/>
          <w:b/>
          <w:bCs/>
        </w:rPr>
        <w:t> МАКС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Лечение крупного рогатого скота и свиней при инфекционных заболеваниях, возбудители которых чувствительны к </w:t>
      </w:r>
      <w:proofErr w:type="spellStart"/>
      <w:r w:rsidRPr="00E218FE">
        <w:rPr>
          <w:rFonts w:ascii="Times New Roman" w:hAnsi="Times New Roman" w:cs="Times New Roman"/>
        </w:rPr>
        <w:t>энрофлоксацину</w:t>
      </w:r>
      <w:proofErr w:type="spellEnd"/>
      <w:r w:rsidRPr="00E218FE">
        <w:rPr>
          <w:rFonts w:ascii="Times New Roman" w:hAnsi="Times New Roman" w:cs="Times New Roman"/>
        </w:rPr>
        <w:t xml:space="preserve">, в </w:t>
      </w:r>
      <w:proofErr w:type="spellStart"/>
      <w:r w:rsidRPr="00E218FE">
        <w:rPr>
          <w:rFonts w:ascii="Times New Roman" w:hAnsi="Times New Roman" w:cs="Times New Roman"/>
        </w:rPr>
        <w:t>т.ч</w:t>
      </w:r>
      <w:proofErr w:type="spellEnd"/>
      <w:r w:rsidRPr="00E218FE">
        <w:rPr>
          <w:rFonts w:ascii="Times New Roman" w:hAnsi="Times New Roman" w:cs="Times New Roman"/>
        </w:rPr>
        <w:t>.: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— </w:t>
      </w:r>
      <w:proofErr w:type="spellStart"/>
      <w:r w:rsidRPr="00E218FE">
        <w:rPr>
          <w:rFonts w:ascii="Times New Roman" w:hAnsi="Times New Roman" w:cs="Times New Roman"/>
        </w:rPr>
        <w:t>колибактериоз</w:t>
      </w:r>
      <w:proofErr w:type="spellEnd"/>
      <w:r w:rsidRPr="00E218FE">
        <w:rPr>
          <w:rFonts w:ascii="Times New Roman" w:hAnsi="Times New Roman" w:cs="Times New Roman"/>
        </w:rPr>
        <w:t>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сальмонеллез;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атрофический ринит;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— </w:t>
      </w:r>
      <w:proofErr w:type="spellStart"/>
      <w:r w:rsidRPr="00E218FE">
        <w:rPr>
          <w:rFonts w:ascii="Times New Roman" w:hAnsi="Times New Roman" w:cs="Times New Roman"/>
        </w:rPr>
        <w:t>стрептококкоз</w:t>
      </w:r>
      <w:proofErr w:type="spellEnd"/>
      <w:r w:rsidRPr="00E218FE">
        <w:rPr>
          <w:rFonts w:ascii="Times New Roman" w:hAnsi="Times New Roman" w:cs="Times New Roman"/>
        </w:rPr>
        <w:t>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септицемия;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бактериальная и энзоотическая пневмония;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синдром ММА;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мастит.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Порядок применения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Перед применением препарата, по возможности, следует выполнить тест на чувствительность возбудителя к </w:t>
      </w:r>
      <w:proofErr w:type="spellStart"/>
      <w:r w:rsidRPr="00E218FE">
        <w:rPr>
          <w:rFonts w:ascii="Times New Roman" w:hAnsi="Times New Roman" w:cs="Times New Roman"/>
        </w:rPr>
        <w:t>энрофлоксацину</w:t>
      </w:r>
      <w:proofErr w:type="spellEnd"/>
      <w:r w:rsidRPr="00E218FE">
        <w:rPr>
          <w:rFonts w:ascii="Times New Roman" w:hAnsi="Times New Roman" w:cs="Times New Roman"/>
        </w:rPr>
        <w:t>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 применяют </w:t>
      </w:r>
      <w:r w:rsidRPr="00E218FE">
        <w:rPr>
          <w:rFonts w:ascii="Times New Roman" w:hAnsi="Times New Roman" w:cs="Times New Roman"/>
          <w:b/>
          <w:bCs/>
        </w:rPr>
        <w:t>крупному рогатому скоту</w:t>
      </w:r>
      <w:r w:rsidRPr="00E218FE">
        <w:rPr>
          <w:rFonts w:ascii="Times New Roman" w:hAnsi="Times New Roman" w:cs="Times New Roman"/>
        </w:rPr>
        <w:t> </w:t>
      </w:r>
      <w:proofErr w:type="gramStart"/>
      <w:r w:rsidRPr="00E218FE">
        <w:rPr>
          <w:rFonts w:ascii="Times New Roman" w:hAnsi="Times New Roman" w:cs="Times New Roman"/>
        </w:rPr>
        <w:t>п</w:t>
      </w:r>
      <w:proofErr w:type="gramEnd"/>
      <w:r w:rsidRPr="00E218FE">
        <w:rPr>
          <w:rFonts w:ascii="Times New Roman" w:hAnsi="Times New Roman" w:cs="Times New Roman"/>
        </w:rPr>
        <w:t xml:space="preserve">/к однократно в дозе 7.5-12.5 мл на 100 кг массы животного (7.5-12.5 мг </w:t>
      </w:r>
      <w:proofErr w:type="spellStart"/>
      <w:r w:rsidRPr="00E218FE">
        <w:rPr>
          <w:rFonts w:ascii="Times New Roman" w:hAnsi="Times New Roman" w:cs="Times New Roman"/>
        </w:rPr>
        <w:t>энрофлоксацина</w:t>
      </w:r>
      <w:proofErr w:type="spellEnd"/>
      <w:r w:rsidRPr="00E218FE">
        <w:rPr>
          <w:rFonts w:ascii="Times New Roman" w:hAnsi="Times New Roman" w:cs="Times New Roman"/>
        </w:rPr>
        <w:t xml:space="preserve"> на 1 кг массы животного), при </w:t>
      </w:r>
      <w:r w:rsidRPr="00E218FE">
        <w:rPr>
          <w:rFonts w:ascii="Times New Roman" w:hAnsi="Times New Roman" w:cs="Times New Roman"/>
          <w:i/>
          <w:iCs/>
        </w:rPr>
        <w:t>маститах</w:t>
      </w:r>
      <w:r w:rsidRPr="00E218FE">
        <w:rPr>
          <w:rFonts w:ascii="Times New Roman" w:hAnsi="Times New Roman" w:cs="Times New Roman"/>
        </w:rPr>
        <w:t> - в дозе 5 мл на 100 кг массы животного (5 мг на 1 кг массы животного) в/в дважды с интервалом 1 сутки.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  <w:b/>
          <w:bCs/>
        </w:rPr>
        <w:t>Свиньям</w:t>
      </w:r>
      <w:r w:rsidRPr="00E218FE">
        <w:rPr>
          <w:rFonts w:ascii="Times New Roman" w:hAnsi="Times New Roman" w:cs="Times New Roman"/>
        </w:rPr>
        <w:t xml:space="preserve"> применяют </w:t>
      </w:r>
      <w:proofErr w:type="gramStart"/>
      <w:r w:rsidRPr="00E218FE">
        <w:rPr>
          <w:rFonts w:ascii="Times New Roman" w:hAnsi="Times New Roman" w:cs="Times New Roman"/>
        </w:rPr>
        <w:t>п</w:t>
      </w:r>
      <w:proofErr w:type="gramEnd"/>
      <w:r w:rsidRPr="00E218FE">
        <w:rPr>
          <w:rFonts w:ascii="Times New Roman" w:hAnsi="Times New Roman" w:cs="Times New Roman"/>
        </w:rPr>
        <w:t xml:space="preserve">/к в область за ухом однократно в дозе 7.5-12.5 мл на 100 кг массы животного (7.5-12.5 мг </w:t>
      </w:r>
      <w:proofErr w:type="spellStart"/>
      <w:r w:rsidRPr="00E218FE">
        <w:rPr>
          <w:rFonts w:ascii="Times New Roman" w:hAnsi="Times New Roman" w:cs="Times New Roman"/>
        </w:rPr>
        <w:t>энрофлоксацина</w:t>
      </w:r>
      <w:proofErr w:type="spellEnd"/>
      <w:r w:rsidRPr="00E218FE">
        <w:rPr>
          <w:rFonts w:ascii="Times New Roman" w:hAnsi="Times New Roman" w:cs="Times New Roman"/>
        </w:rPr>
        <w:t xml:space="preserve"> на 1 кг массы животного).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Ввиду возможной местной реакции </w:t>
      </w: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 следует вводить в количестве не более 10 мл в одно и то же место крупному рогатому скоту и 5 мл - свиньям.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Нарушение схемы применения препарата может приводить к появлению резистентности микроорганизмов к </w:t>
      </w:r>
      <w:proofErr w:type="spellStart"/>
      <w:r w:rsidRPr="00E218FE">
        <w:rPr>
          <w:rFonts w:ascii="Times New Roman" w:hAnsi="Times New Roman" w:cs="Times New Roman"/>
        </w:rPr>
        <w:t>фторхинолонам</w:t>
      </w:r>
      <w:proofErr w:type="spellEnd"/>
      <w:r w:rsidRPr="00E218FE">
        <w:rPr>
          <w:rFonts w:ascii="Times New Roman" w:hAnsi="Times New Roman" w:cs="Times New Roman"/>
        </w:rPr>
        <w:t xml:space="preserve"> и снижению эффективности их применения вследствие перекрестной резистентности.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lastRenderedPageBreak/>
        <w:t>Особенностей действия лекарственного препарата при его первом применении и отмене не установлено.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Препарат вводится однократно.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Побочные эффекты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Побочных явлений и осложнений у животных при применении лекарственного препарата в соответствии с инструкцией, как правило, не наблюдается. В случае появления аллергических реакций использование препарата прекращают и назначают животному антигистаминные и симптоматические лекарственные средства.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  <w:i/>
          <w:iCs/>
        </w:rPr>
        <w:t>В отдельных случаях</w:t>
      </w:r>
      <w:r w:rsidRPr="00E218FE">
        <w:rPr>
          <w:rFonts w:ascii="Times New Roman" w:hAnsi="Times New Roman" w:cs="Times New Roman"/>
        </w:rPr>
        <w:t> возможно кратковременное нарушение функции ЖКТ. </w:t>
      </w:r>
      <w:r w:rsidRPr="00E218FE">
        <w:rPr>
          <w:rFonts w:ascii="Times New Roman" w:hAnsi="Times New Roman" w:cs="Times New Roman"/>
          <w:i/>
          <w:iCs/>
        </w:rPr>
        <w:t>В месте инъекции</w:t>
      </w:r>
      <w:r w:rsidRPr="00E218FE">
        <w:rPr>
          <w:rFonts w:ascii="Times New Roman" w:hAnsi="Times New Roman" w:cs="Times New Roman"/>
        </w:rPr>
        <w:t> возможно появление раздражения, исчезающее самопроизвольно.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При </w:t>
      </w:r>
      <w:r w:rsidRPr="00E218FE">
        <w:rPr>
          <w:rFonts w:ascii="Times New Roman" w:hAnsi="Times New Roman" w:cs="Times New Roman"/>
          <w:i/>
          <w:iCs/>
        </w:rPr>
        <w:t>передозировке</w:t>
      </w:r>
      <w:r w:rsidRPr="00E218FE">
        <w:rPr>
          <w:rFonts w:ascii="Times New Roman" w:hAnsi="Times New Roman" w:cs="Times New Roman"/>
        </w:rPr>
        <w:t> препарата у животного может наблюдаться снижение аппетита, угнетенное состояние, рвота, диарея. У </w:t>
      </w:r>
      <w:r w:rsidRPr="00E218FE">
        <w:rPr>
          <w:rFonts w:ascii="Times New Roman" w:hAnsi="Times New Roman" w:cs="Times New Roman"/>
          <w:b/>
          <w:bCs/>
        </w:rPr>
        <w:t>телят</w:t>
      </w:r>
      <w:r w:rsidRPr="00E218FE">
        <w:rPr>
          <w:rFonts w:ascii="Times New Roman" w:hAnsi="Times New Roman" w:cs="Times New Roman"/>
        </w:rPr>
        <w:t xml:space="preserve"> наблюдались дегенеративные изменения суставных хрящей при оральном применении </w:t>
      </w:r>
      <w:proofErr w:type="spellStart"/>
      <w:r w:rsidRPr="00E218FE">
        <w:rPr>
          <w:rFonts w:ascii="Times New Roman" w:hAnsi="Times New Roman" w:cs="Times New Roman"/>
        </w:rPr>
        <w:t>энрофлоксацина</w:t>
      </w:r>
      <w:proofErr w:type="spellEnd"/>
      <w:r w:rsidRPr="00E218FE">
        <w:rPr>
          <w:rFonts w:ascii="Times New Roman" w:hAnsi="Times New Roman" w:cs="Times New Roman"/>
        </w:rPr>
        <w:t xml:space="preserve"> в дозе 30 мг/кг в течение 14 дней.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Противопоказания к применению препарата ЭНРОКСИЛ</w:t>
      </w:r>
      <w:r w:rsidRPr="00E218FE">
        <w:rPr>
          <w:rFonts w:ascii="Times New Roman" w:hAnsi="Times New Roman" w:cs="Times New Roman"/>
          <w:b/>
          <w:bCs/>
          <w:vertAlign w:val="superscript"/>
        </w:rPr>
        <w:t>®</w:t>
      </w:r>
      <w:r w:rsidRPr="00E218FE">
        <w:rPr>
          <w:rFonts w:ascii="Times New Roman" w:hAnsi="Times New Roman" w:cs="Times New Roman"/>
          <w:b/>
          <w:bCs/>
        </w:rPr>
        <w:t> МАКС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— заболевания печени и почек;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— индивидуальная гиперчувствительность к </w:t>
      </w:r>
      <w:proofErr w:type="spellStart"/>
      <w:r w:rsidRPr="00E218FE">
        <w:rPr>
          <w:rFonts w:ascii="Times New Roman" w:hAnsi="Times New Roman" w:cs="Times New Roman"/>
        </w:rPr>
        <w:t>энрофлоксацину</w:t>
      </w:r>
      <w:proofErr w:type="spellEnd"/>
      <w:r w:rsidRPr="00E218FE">
        <w:rPr>
          <w:rFonts w:ascii="Times New Roman" w:hAnsi="Times New Roman" w:cs="Times New Roman"/>
        </w:rPr>
        <w:t>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Не допускается одновременное применение препарата </w:t>
      </w: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 xml:space="preserve"> Макс с </w:t>
      </w:r>
      <w:proofErr w:type="spellStart"/>
      <w:r w:rsidRPr="00E218FE">
        <w:rPr>
          <w:rFonts w:ascii="Times New Roman" w:hAnsi="Times New Roman" w:cs="Times New Roman"/>
        </w:rPr>
        <w:t>хлорамфениколом</w:t>
      </w:r>
      <w:proofErr w:type="spellEnd"/>
      <w:r w:rsidRPr="00E218FE">
        <w:rPr>
          <w:rFonts w:ascii="Times New Roman" w:hAnsi="Times New Roman" w:cs="Times New Roman"/>
        </w:rPr>
        <w:t xml:space="preserve">, антибиотиками группы </w:t>
      </w:r>
      <w:proofErr w:type="spellStart"/>
      <w:r w:rsidRPr="00E218FE">
        <w:rPr>
          <w:rFonts w:ascii="Times New Roman" w:hAnsi="Times New Roman" w:cs="Times New Roman"/>
        </w:rPr>
        <w:t>макролидов</w:t>
      </w:r>
      <w:proofErr w:type="spellEnd"/>
      <w:r w:rsidRPr="00E218FE">
        <w:rPr>
          <w:rFonts w:ascii="Times New Roman" w:hAnsi="Times New Roman" w:cs="Times New Roman"/>
        </w:rPr>
        <w:t>, группы тетрациклина, теофиллином и НПВС.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Препарат можно применять беременным и </w:t>
      </w:r>
      <w:proofErr w:type="spellStart"/>
      <w:r w:rsidRPr="00E218FE">
        <w:rPr>
          <w:rFonts w:ascii="Times New Roman" w:hAnsi="Times New Roman" w:cs="Times New Roman"/>
        </w:rPr>
        <w:t>лактирующим</w:t>
      </w:r>
      <w:proofErr w:type="spellEnd"/>
      <w:r w:rsidRPr="00E218FE">
        <w:rPr>
          <w:rFonts w:ascii="Times New Roman" w:hAnsi="Times New Roman" w:cs="Times New Roman"/>
        </w:rPr>
        <w:t xml:space="preserve"> животным, а также молодняку свиней и крупного рогатого скота любого возраста.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Убой крупного рогатого скота и свиней на мясо разрешается не ранее чем через 14 суток после применения препарата </w:t>
      </w: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Макс. Мясо животных, вынужденно убитых до истечения указанного срока, может быть использовано для кормления пушных зверей.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Молоко коров, которым вводили препарат </w:t>
      </w: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Макс, можно использовать для пищевых целей через 3 суток после применения препарата. Молоко, полученное ранее установленного срока, может быть использовано после термической обработки для кормления животных.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  <w:i/>
          <w:iCs/>
        </w:rPr>
        <w:t>Меры личной профилактики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E218FE">
        <w:rPr>
          <w:rFonts w:ascii="Times New Roman" w:hAnsi="Times New Roman" w:cs="Times New Roman"/>
        </w:rPr>
        <w:t>Энроксил</w:t>
      </w:r>
      <w:proofErr w:type="spellEnd"/>
      <w:r w:rsidRPr="00E218FE">
        <w:rPr>
          <w:rFonts w:ascii="Times New Roman" w:hAnsi="Times New Roman" w:cs="Times New Roman"/>
          <w:vertAlign w:val="superscript"/>
        </w:rPr>
        <w:t>®</w:t>
      </w:r>
      <w:r w:rsidRPr="00E218FE">
        <w:rPr>
          <w:rFonts w:ascii="Times New Roman" w:hAnsi="Times New Roman" w:cs="Times New Roman"/>
        </w:rPr>
        <w:t> Макс необходимо соблюдать общие правила личной гигиены и техники безопасности, предусмотренные при работе с лекарственными препаратами. Во время работы с препаратом запрещается пить, курить и принимать пищу. По окончании работы следует тщательно вымыть с мылом лицо и руки.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Людям с гиперчувствительностью к </w:t>
      </w:r>
      <w:proofErr w:type="spellStart"/>
      <w:r w:rsidRPr="00E218FE">
        <w:rPr>
          <w:rFonts w:ascii="Times New Roman" w:hAnsi="Times New Roman" w:cs="Times New Roman"/>
        </w:rPr>
        <w:t>фторхинолонам</w:t>
      </w:r>
      <w:proofErr w:type="spellEnd"/>
      <w:r w:rsidRPr="00E218FE">
        <w:rPr>
          <w:rFonts w:ascii="Times New Roman" w:hAnsi="Times New Roman" w:cs="Times New Roman"/>
        </w:rPr>
        <w:t xml:space="preserve"> следует избегать прямого контакта с препаратом.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При случайном попадании препарата на кожу или слизистые оболочки его необходимо немедленно смыть проточной водой с мылом. В случае появления аллергических реакций и/или случайном проглатывании лекарственного препарата следует немедленно обратиться в медицинское учреждение (при себе иметь инструкцию по применению препарата или этикетку).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Пустая упаковка из-под препарата подлежит утилизации с бытовыми отходами.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18FE">
        <w:rPr>
          <w:rFonts w:ascii="Times New Roman" w:hAnsi="Times New Roman" w:cs="Times New Roman"/>
          <w:b/>
          <w:bCs/>
        </w:rPr>
        <w:t>Условия хранения ЭНРОКСИЛ</w:t>
      </w:r>
      <w:r w:rsidRPr="00E218FE">
        <w:rPr>
          <w:rFonts w:ascii="Times New Roman" w:hAnsi="Times New Roman" w:cs="Times New Roman"/>
          <w:b/>
          <w:bCs/>
          <w:vertAlign w:val="superscript"/>
        </w:rPr>
        <w:t>®</w:t>
      </w:r>
      <w:r w:rsidRPr="00E218FE">
        <w:rPr>
          <w:rFonts w:ascii="Times New Roman" w:hAnsi="Times New Roman" w:cs="Times New Roman"/>
          <w:b/>
          <w:bCs/>
        </w:rPr>
        <w:t> МАКС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Препарат следует хранить в упаковке производителя, отдельно от продуктов питания и кормов, в защищенном от прямых солнечных лучей, недоступном для детей месте при температуре от 5° до 25°С.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После первого вскрытия упаковки препарат следует использовать в течение 28 дней.</w:t>
      </w:r>
    </w:p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>Неиспользованный препарат утилизируют в соответствии с требованиями законодательства.</w:t>
      </w:r>
    </w:p>
    <w:p w:rsidR="00E218FE" w:rsidRPr="00E218FE" w:rsidRDefault="00E218FE" w:rsidP="00E218FE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E218FE">
        <w:rPr>
          <w:rFonts w:ascii="Times New Roman" w:hAnsi="Times New Roman" w:cs="Times New Roman"/>
          <w:b/>
          <w:bCs/>
        </w:rPr>
        <w:t>Срок годности ЭНРОКСИЛ</w:t>
      </w:r>
      <w:r w:rsidRPr="00E218FE">
        <w:rPr>
          <w:rFonts w:ascii="Times New Roman" w:hAnsi="Times New Roman" w:cs="Times New Roman"/>
          <w:b/>
          <w:bCs/>
          <w:vertAlign w:val="superscript"/>
        </w:rPr>
        <w:t>®</w:t>
      </w:r>
      <w:r w:rsidRPr="00E218FE">
        <w:rPr>
          <w:rFonts w:ascii="Times New Roman" w:hAnsi="Times New Roman" w:cs="Times New Roman"/>
          <w:b/>
          <w:bCs/>
        </w:rPr>
        <w:t> МАКС</w:t>
      </w:r>
    </w:p>
    <w:bookmarkEnd w:id="0"/>
    <w:p w:rsidR="00E218FE" w:rsidRPr="00E218FE" w:rsidRDefault="00E218FE" w:rsidP="00E218FE">
      <w:pPr>
        <w:spacing w:after="0"/>
        <w:rPr>
          <w:rFonts w:ascii="Times New Roman" w:hAnsi="Times New Roman" w:cs="Times New Roman"/>
        </w:rPr>
      </w:pPr>
      <w:r w:rsidRPr="00E218FE">
        <w:rPr>
          <w:rFonts w:ascii="Times New Roman" w:hAnsi="Times New Roman" w:cs="Times New Roman"/>
        </w:rPr>
        <w:t xml:space="preserve">Срок годности при соблюдении условий хранения - 5 лет </w:t>
      </w:r>
      <w:proofErr w:type="gramStart"/>
      <w:r w:rsidRPr="00E218FE">
        <w:rPr>
          <w:rFonts w:ascii="Times New Roman" w:hAnsi="Times New Roman" w:cs="Times New Roman"/>
        </w:rPr>
        <w:t>с даты производства</w:t>
      </w:r>
      <w:proofErr w:type="gramEnd"/>
      <w:r w:rsidRPr="00E218FE">
        <w:rPr>
          <w:rFonts w:ascii="Times New Roman" w:hAnsi="Times New Roman" w:cs="Times New Roman"/>
        </w:rPr>
        <w:t>. Запрещается использование препарата после окончания срока его годности.</w:t>
      </w:r>
    </w:p>
    <w:p w:rsidR="00AC55D9" w:rsidRDefault="00AC55D9"/>
    <w:sectPr w:rsidR="00AC55D9" w:rsidSect="00E218F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FE"/>
    <w:rsid w:val="00AC55D9"/>
    <w:rsid w:val="00E2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73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6463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70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58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20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909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425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65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63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949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2019-06-19T11:34:00Z</dcterms:created>
  <dcterms:modified xsi:type="dcterms:W3CDTF">2019-06-19T11:36:00Z</dcterms:modified>
</cp:coreProperties>
</file>