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D6" w:rsidRPr="003F07D6" w:rsidRDefault="003F07D6" w:rsidP="003F0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07D6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bookmarkStart w:id="0" w:name="_GoBack"/>
      <w:bookmarkEnd w:id="0"/>
    </w:p>
    <w:p w:rsidR="003F07D6" w:rsidRPr="003F07D6" w:rsidRDefault="003F07D6" w:rsidP="003F0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07D6">
        <w:rPr>
          <w:rFonts w:ascii="Times New Roman" w:hAnsi="Times New Roman" w:cs="Times New Roman"/>
          <w:b/>
          <w:bCs/>
          <w:sz w:val="28"/>
          <w:szCs w:val="28"/>
        </w:rPr>
        <w:t>по применению препарата «</w:t>
      </w:r>
      <w:proofErr w:type="spellStart"/>
      <w:r w:rsidRPr="003F07D6">
        <w:rPr>
          <w:rFonts w:ascii="Times New Roman" w:hAnsi="Times New Roman" w:cs="Times New Roman"/>
          <w:b/>
          <w:bCs/>
          <w:sz w:val="32"/>
          <w:szCs w:val="32"/>
        </w:rPr>
        <w:t>Бутафарм</w:t>
      </w:r>
      <w:proofErr w:type="spellEnd"/>
      <w:r w:rsidRPr="003F07D6">
        <w:rPr>
          <w:rFonts w:ascii="Times New Roman" w:hAnsi="Times New Roman" w:cs="Times New Roman"/>
          <w:b/>
          <w:bCs/>
          <w:sz w:val="28"/>
          <w:szCs w:val="28"/>
        </w:rPr>
        <w:t>» в ветеринарии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(Организаци</w:t>
      </w:r>
      <w:proofErr w:type="gramStart"/>
      <w:r w:rsidRPr="003F07D6">
        <w:rPr>
          <w:rFonts w:ascii="Times New Roman" w:hAnsi="Times New Roman" w:cs="Times New Roman"/>
        </w:rPr>
        <w:t>я-</w:t>
      </w:r>
      <w:proofErr w:type="gramEnd"/>
      <w:r w:rsidRPr="003F07D6">
        <w:rPr>
          <w:rFonts w:ascii="Times New Roman" w:hAnsi="Times New Roman" w:cs="Times New Roman"/>
        </w:rPr>
        <w:t xml:space="preserve"> разработчик: </w:t>
      </w:r>
      <w:proofErr w:type="gramStart"/>
      <w:r w:rsidRPr="003F07D6">
        <w:rPr>
          <w:rFonts w:ascii="Times New Roman" w:hAnsi="Times New Roman" w:cs="Times New Roman"/>
        </w:rPr>
        <w:t>ООО Фирма «</w:t>
      </w:r>
      <w:proofErr w:type="spellStart"/>
      <w:r w:rsidRPr="003F07D6">
        <w:rPr>
          <w:rFonts w:ascii="Times New Roman" w:hAnsi="Times New Roman" w:cs="Times New Roman"/>
        </w:rPr>
        <w:t>БиоХимФарм</w:t>
      </w:r>
      <w:proofErr w:type="spellEnd"/>
      <w:r w:rsidRPr="003F07D6">
        <w:rPr>
          <w:rFonts w:ascii="Times New Roman" w:hAnsi="Times New Roman" w:cs="Times New Roman"/>
        </w:rPr>
        <w:t>» г Радужный, Владимирская обл.)</w:t>
      </w:r>
      <w:proofErr w:type="gramEnd"/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  <w:b/>
          <w:bCs/>
          <w:lang w:val="en-US"/>
        </w:rPr>
        <w:t>I</w:t>
      </w:r>
      <w:r w:rsidRPr="003F07D6">
        <w:rPr>
          <w:rFonts w:ascii="Times New Roman" w:hAnsi="Times New Roman" w:cs="Times New Roman"/>
          <w:b/>
          <w:bCs/>
        </w:rPr>
        <w:t>. Общие сведения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1. Торговое наименование препарата: </w:t>
      </w:r>
      <w:proofErr w:type="spellStart"/>
      <w:r w:rsidRPr="003F07D6">
        <w:rPr>
          <w:rFonts w:ascii="Times New Roman" w:hAnsi="Times New Roman" w:cs="Times New Roman"/>
        </w:rPr>
        <w:t>Бутафарм</w:t>
      </w:r>
      <w:proofErr w:type="spellEnd"/>
      <w:r w:rsidRPr="003F07D6">
        <w:rPr>
          <w:rFonts w:ascii="Times New Roman" w:hAnsi="Times New Roman" w:cs="Times New Roman"/>
        </w:rPr>
        <w:t xml:space="preserve"> (</w:t>
      </w:r>
      <w:proofErr w:type="spellStart"/>
      <w:r w:rsidRPr="003F07D6">
        <w:rPr>
          <w:rFonts w:ascii="Times New Roman" w:hAnsi="Times New Roman" w:cs="Times New Roman"/>
          <w:lang w:val="en-US"/>
        </w:rPr>
        <w:t>Butapharm</w:t>
      </w:r>
      <w:proofErr w:type="spellEnd"/>
      <w:r w:rsidRPr="003F07D6">
        <w:rPr>
          <w:rFonts w:ascii="Times New Roman" w:hAnsi="Times New Roman" w:cs="Times New Roman"/>
        </w:rPr>
        <w:t>).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Международное непатентованное название: </w:t>
      </w:r>
      <w:proofErr w:type="spellStart"/>
      <w:r w:rsidRPr="003F07D6">
        <w:rPr>
          <w:rFonts w:ascii="Times New Roman" w:hAnsi="Times New Roman" w:cs="Times New Roman"/>
        </w:rPr>
        <w:t>бутафосфан</w:t>
      </w:r>
      <w:proofErr w:type="spellEnd"/>
      <w:r w:rsidRPr="003F07D6">
        <w:rPr>
          <w:rFonts w:ascii="Times New Roman" w:hAnsi="Times New Roman" w:cs="Times New Roman"/>
        </w:rPr>
        <w:t xml:space="preserve"> и </w:t>
      </w:r>
      <w:proofErr w:type="spellStart"/>
      <w:r w:rsidRPr="003F07D6">
        <w:rPr>
          <w:rFonts w:ascii="Times New Roman" w:hAnsi="Times New Roman" w:cs="Times New Roman"/>
        </w:rPr>
        <w:t>цианокобаламин</w:t>
      </w:r>
      <w:proofErr w:type="spellEnd"/>
      <w:r w:rsidRPr="003F07D6">
        <w:rPr>
          <w:rFonts w:ascii="Times New Roman" w:hAnsi="Times New Roman" w:cs="Times New Roman"/>
        </w:rPr>
        <w:t>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2. Лекарственная форма: раствор для инъекций.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В 1 мл </w:t>
      </w:r>
      <w:proofErr w:type="spellStart"/>
      <w:r w:rsidRPr="003F07D6">
        <w:rPr>
          <w:rFonts w:ascii="Times New Roman" w:hAnsi="Times New Roman" w:cs="Times New Roman"/>
        </w:rPr>
        <w:t>Бутафарма</w:t>
      </w:r>
      <w:proofErr w:type="spellEnd"/>
      <w:r w:rsidRPr="003F07D6">
        <w:rPr>
          <w:rFonts w:ascii="Times New Roman" w:hAnsi="Times New Roman" w:cs="Times New Roman"/>
        </w:rPr>
        <w:t xml:space="preserve"> в качестве действующих веществ содержится 100 мг </w:t>
      </w:r>
      <w:proofErr w:type="spellStart"/>
      <w:r w:rsidRPr="003F07D6">
        <w:rPr>
          <w:rFonts w:ascii="Times New Roman" w:hAnsi="Times New Roman" w:cs="Times New Roman"/>
        </w:rPr>
        <w:t>бутафосфана</w:t>
      </w:r>
      <w:proofErr w:type="spellEnd"/>
      <w:r w:rsidRPr="003F07D6">
        <w:rPr>
          <w:rFonts w:ascii="Times New Roman" w:hAnsi="Times New Roman" w:cs="Times New Roman"/>
        </w:rPr>
        <w:t xml:space="preserve"> и 0,05 мг </w:t>
      </w:r>
      <w:proofErr w:type="spellStart"/>
      <w:r w:rsidRPr="003F07D6">
        <w:rPr>
          <w:rFonts w:ascii="Times New Roman" w:hAnsi="Times New Roman" w:cs="Times New Roman"/>
        </w:rPr>
        <w:t>цианокобаламина</w:t>
      </w:r>
      <w:proofErr w:type="spellEnd"/>
      <w:r w:rsidRPr="003F07D6">
        <w:rPr>
          <w:rFonts w:ascii="Times New Roman" w:hAnsi="Times New Roman" w:cs="Times New Roman"/>
        </w:rPr>
        <w:t>, а также вспомогательные компоненты.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3. По внешнему виду препарат представляет собой прозрачную жидкость </w:t>
      </w:r>
      <w:proofErr w:type="gramStart"/>
      <w:r w:rsidRPr="003F07D6">
        <w:rPr>
          <w:rFonts w:ascii="Times New Roman" w:hAnsi="Times New Roman" w:cs="Times New Roman"/>
        </w:rPr>
        <w:t>от</w:t>
      </w:r>
      <w:proofErr w:type="gramEnd"/>
      <w:r w:rsidRPr="003F07D6">
        <w:rPr>
          <w:rFonts w:ascii="Times New Roman" w:hAnsi="Times New Roman" w:cs="Times New Roman"/>
        </w:rPr>
        <w:t xml:space="preserve"> светло-розового до розового цвета. Срок годности препарата при соблюдении условий хранения – 2 года </w:t>
      </w:r>
      <w:proofErr w:type="gramStart"/>
      <w:r w:rsidRPr="003F07D6">
        <w:rPr>
          <w:rFonts w:ascii="Times New Roman" w:hAnsi="Times New Roman" w:cs="Times New Roman"/>
        </w:rPr>
        <w:t>с даты производства</w:t>
      </w:r>
      <w:proofErr w:type="gramEnd"/>
      <w:r w:rsidRPr="003F07D6">
        <w:rPr>
          <w:rFonts w:ascii="Times New Roman" w:hAnsi="Times New Roman" w:cs="Times New Roman"/>
        </w:rPr>
        <w:t>, после вскрытия флакона – 10 суток.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Запрещается применение препарата </w:t>
      </w:r>
      <w:proofErr w:type="spellStart"/>
      <w:r w:rsidRPr="003F07D6">
        <w:rPr>
          <w:rFonts w:ascii="Times New Roman" w:hAnsi="Times New Roman" w:cs="Times New Roman"/>
        </w:rPr>
        <w:t>Бутафарм</w:t>
      </w:r>
      <w:proofErr w:type="spellEnd"/>
      <w:r w:rsidRPr="003F07D6">
        <w:rPr>
          <w:rFonts w:ascii="Times New Roman" w:hAnsi="Times New Roman" w:cs="Times New Roman"/>
        </w:rPr>
        <w:t xml:space="preserve"> по истечении срока годности.</w:t>
      </w:r>
      <w:r w:rsidRPr="003F07D6">
        <w:rPr>
          <w:rFonts w:ascii="Times New Roman" w:hAnsi="Times New Roman" w:cs="Times New Roman"/>
        </w:rPr>
        <w:br/>
        <w:t>4. Выпускают лекарственный препарат стерильно расфасованным по 10, 50 и 100 мл во флаконы соответствующей вместимости, флаконы укупоривают резиновыми пробками и обкатывают алюминиевыми колпачками. Флаконы по 10 мл помещают в картонную коробку по 50 штук. Каждую потребительскую упаковку снабжают инструкцией по применению.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5. Хранят препарат в закрытой упаковке производителя в сухом, защищенном от прямых солнечных лучей месте, отдельно от продуктов питания и кормов, при температуре от 5</w:t>
      </w:r>
      <w:proofErr w:type="gramStart"/>
      <w:r w:rsidRPr="003F07D6">
        <w:rPr>
          <w:rFonts w:ascii="Times New Roman" w:hAnsi="Times New Roman" w:cs="Times New Roman"/>
        </w:rPr>
        <w:t xml:space="preserve"> °С</w:t>
      </w:r>
      <w:proofErr w:type="gramEnd"/>
      <w:r w:rsidRPr="003F07D6">
        <w:rPr>
          <w:rFonts w:ascii="Times New Roman" w:hAnsi="Times New Roman" w:cs="Times New Roman"/>
        </w:rPr>
        <w:t xml:space="preserve"> до 25ºС.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6. </w:t>
      </w:r>
      <w:proofErr w:type="spellStart"/>
      <w:r w:rsidRPr="003F07D6">
        <w:rPr>
          <w:rFonts w:ascii="Times New Roman" w:hAnsi="Times New Roman" w:cs="Times New Roman"/>
        </w:rPr>
        <w:t>Бутафарм</w:t>
      </w:r>
      <w:proofErr w:type="spellEnd"/>
      <w:r w:rsidRPr="003F07D6">
        <w:rPr>
          <w:rFonts w:ascii="Times New Roman" w:hAnsi="Times New Roman" w:cs="Times New Roman"/>
        </w:rPr>
        <w:t xml:space="preserve"> следует хранить в местах, недоступных для детей.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7. Неиспользованный лекарственный препарат утилизируют в соответствии с требованиями законодательства.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8. Отпускается без рецепта ветеринарного врача.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  <w:b/>
          <w:bCs/>
          <w:lang w:val="en-US"/>
        </w:rPr>
        <w:t>II</w:t>
      </w:r>
      <w:r w:rsidRPr="003F07D6">
        <w:rPr>
          <w:rFonts w:ascii="Times New Roman" w:hAnsi="Times New Roman" w:cs="Times New Roman"/>
          <w:b/>
          <w:bCs/>
        </w:rPr>
        <w:t>. Фармакологические свойства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9. Фармакотерапевтическая группа лекарственного препарата: относится к лекарственным препаратам, регулирующим метаболические процессы в организме.</w:t>
      </w:r>
      <w:r w:rsidRPr="003F07D6">
        <w:rPr>
          <w:rFonts w:ascii="Times New Roman" w:hAnsi="Times New Roman" w:cs="Times New Roman"/>
        </w:rPr>
        <w:br/>
      </w:r>
      <w:proofErr w:type="spellStart"/>
      <w:r w:rsidRPr="003F07D6">
        <w:rPr>
          <w:rFonts w:ascii="Times New Roman" w:hAnsi="Times New Roman" w:cs="Times New Roman"/>
        </w:rPr>
        <w:t>Бутафарм</w:t>
      </w:r>
      <w:proofErr w:type="spellEnd"/>
      <w:r w:rsidRPr="003F07D6">
        <w:rPr>
          <w:rFonts w:ascii="Times New Roman" w:hAnsi="Times New Roman" w:cs="Times New Roman"/>
        </w:rPr>
        <w:t xml:space="preserve"> относится к комплексным общеукрепляющим и тонизирующим лекарственным препаратам, нормализует метаболические и регенеративные процессы, оказывает стимулирующее действие на белковый, углеводный и жировой обмен веществ, повышает резистентность организма к неблагоприятным факторам внешней среды, способствует росту и развитию молодняка животных.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proofErr w:type="gramStart"/>
      <w:r w:rsidRPr="003F07D6">
        <w:rPr>
          <w:rFonts w:ascii="Times New Roman" w:hAnsi="Times New Roman" w:cs="Times New Roman"/>
        </w:rPr>
        <w:t xml:space="preserve">Макроэргические соединения фосфора (АТФ и </w:t>
      </w:r>
      <w:proofErr w:type="spellStart"/>
      <w:r w:rsidRPr="003F07D6">
        <w:rPr>
          <w:rFonts w:ascii="Times New Roman" w:hAnsi="Times New Roman" w:cs="Times New Roman"/>
        </w:rPr>
        <w:t>креатинфосфат</w:t>
      </w:r>
      <w:proofErr w:type="spellEnd"/>
      <w:r w:rsidRPr="003F07D6">
        <w:rPr>
          <w:rFonts w:ascii="Times New Roman" w:hAnsi="Times New Roman" w:cs="Times New Roman"/>
        </w:rPr>
        <w:t>) аккумулируют энергию, которая затем может быть использована для механической (мышечные сокращения), электрической (проведение нервного импульса), химической (биосинтез различных соединений) и электрохимической (активный транспорт веществ через мембраны) работы органов и тканей.</w:t>
      </w:r>
      <w:proofErr w:type="gramEnd"/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Входящий в состав препарата </w:t>
      </w:r>
      <w:proofErr w:type="spellStart"/>
      <w:r w:rsidRPr="003F07D6">
        <w:rPr>
          <w:rFonts w:ascii="Times New Roman" w:hAnsi="Times New Roman" w:cs="Times New Roman"/>
        </w:rPr>
        <w:t>бутафосфан</w:t>
      </w:r>
      <w:proofErr w:type="spellEnd"/>
      <w:r w:rsidRPr="003F07D6">
        <w:rPr>
          <w:rFonts w:ascii="Times New Roman" w:hAnsi="Times New Roman" w:cs="Times New Roman"/>
        </w:rPr>
        <w:t xml:space="preserve"> способствует улучшению функции печени, стимулирует преобразование АДФ в АТФ, повышает двигательную активность гладкой мускулатуры, стимулирует образование костной ткани.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proofErr w:type="spellStart"/>
      <w:r w:rsidRPr="003F07D6">
        <w:rPr>
          <w:rFonts w:ascii="Times New Roman" w:hAnsi="Times New Roman" w:cs="Times New Roman"/>
        </w:rPr>
        <w:t>Бутафарм</w:t>
      </w:r>
      <w:proofErr w:type="spellEnd"/>
      <w:r w:rsidRPr="003F07D6">
        <w:rPr>
          <w:rFonts w:ascii="Times New Roman" w:hAnsi="Times New Roman" w:cs="Times New Roman"/>
        </w:rPr>
        <w:t xml:space="preserve"> по степени воздействия на организм относится к малоопасным веществам (4 класс опасности по ГОСТ 12.1.007), в рекомендуемых дозах не оказывает местно-раздражающего, сенсибилизирующего, </w:t>
      </w:r>
      <w:proofErr w:type="spellStart"/>
      <w:r w:rsidRPr="003F07D6">
        <w:rPr>
          <w:rFonts w:ascii="Times New Roman" w:hAnsi="Times New Roman" w:cs="Times New Roman"/>
        </w:rPr>
        <w:t>эмбриотоксического</w:t>
      </w:r>
      <w:proofErr w:type="spellEnd"/>
      <w:r w:rsidRPr="003F07D6">
        <w:rPr>
          <w:rFonts w:ascii="Times New Roman" w:hAnsi="Times New Roman" w:cs="Times New Roman"/>
        </w:rPr>
        <w:t xml:space="preserve">, </w:t>
      </w:r>
      <w:proofErr w:type="spellStart"/>
      <w:r w:rsidRPr="003F07D6">
        <w:rPr>
          <w:rFonts w:ascii="Times New Roman" w:hAnsi="Times New Roman" w:cs="Times New Roman"/>
        </w:rPr>
        <w:t>терратогенного</w:t>
      </w:r>
      <w:proofErr w:type="spellEnd"/>
      <w:r w:rsidRPr="003F07D6">
        <w:rPr>
          <w:rFonts w:ascii="Times New Roman" w:hAnsi="Times New Roman" w:cs="Times New Roman"/>
        </w:rPr>
        <w:t>, мутагенного и канцерогенного действия, не обладает кумулятивными свойствами.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  <w:b/>
          <w:bCs/>
          <w:lang w:val="en-US"/>
        </w:rPr>
        <w:t>III</w:t>
      </w:r>
      <w:r w:rsidRPr="003F07D6">
        <w:rPr>
          <w:rFonts w:ascii="Times New Roman" w:hAnsi="Times New Roman" w:cs="Times New Roman"/>
          <w:b/>
          <w:bCs/>
        </w:rPr>
        <w:t>. Порядок применения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8. </w:t>
      </w:r>
      <w:proofErr w:type="spellStart"/>
      <w:proofErr w:type="gramStart"/>
      <w:r w:rsidRPr="003F07D6">
        <w:rPr>
          <w:rFonts w:ascii="Times New Roman" w:hAnsi="Times New Roman" w:cs="Times New Roman"/>
        </w:rPr>
        <w:t>Бутафарм</w:t>
      </w:r>
      <w:proofErr w:type="spellEnd"/>
      <w:r w:rsidRPr="003F07D6">
        <w:rPr>
          <w:rFonts w:ascii="Times New Roman" w:hAnsi="Times New Roman" w:cs="Times New Roman"/>
        </w:rPr>
        <w:t xml:space="preserve"> назначают крупному и мелкому рогатому скоту, лошадям, верблюдам, свиньям, собакам, кошкам, пушным зверям и сельскохозяйственной птице при нарушениях обмена веществ различной этиологии, а также в качестве стимулирующего и тонизирующего средства: – для повышения сопротивляемости организма к заболеваниям различной этиологии; – как дополнительное средство при лечении заболеваний, обусловленных недостатком в организме </w:t>
      </w:r>
      <w:r w:rsidRPr="003F07D6">
        <w:rPr>
          <w:rFonts w:ascii="Times New Roman" w:hAnsi="Times New Roman" w:cs="Times New Roman"/>
        </w:rPr>
        <w:lastRenderedPageBreak/>
        <w:t>кальция и магния;</w:t>
      </w:r>
      <w:proofErr w:type="gramEnd"/>
      <w:r w:rsidRPr="003F07D6">
        <w:rPr>
          <w:rFonts w:ascii="Times New Roman" w:hAnsi="Times New Roman" w:cs="Times New Roman"/>
        </w:rPr>
        <w:t xml:space="preserve"> – в целях активизации родовой деятельности и профилактики послеродовых осложнений (тетания матки, родильный парез); – при тяжелых физических нагрузках и повышенной физической активности у спортивных лошадей (за 2-3 дня до соревнований)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9. Препарат противопоказан при повышенной индивидуальной чувствительности к его компонентам.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10. </w:t>
      </w:r>
      <w:proofErr w:type="spellStart"/>
      <w:r w:rsidRPr="003F07D6">
        <w:rPr>
          <w:rFonts w:ascii="Times New Roman" w:hAnsi="Times New Roman" w:cs="Times New Roman"/>
        </w:rPr>
        <w:t>Бутафарм</w:t>
      </w:r>
      <w:proofErr w:type="spellEnd"/>
      <w:r w:rsidRPr="003F07D6">
        <w:rPr>
          <w:rFonts w:ascii="Times New Roman" w:hAnsi="Times New Roman" w:cs="Times New Roman"/>
        </w:rPr>
        <w:t xml:space="preserve"> применяют крупному и мелкому рогатому скоту, лошадям верблюдам, свиньям, собакам, кошкам, пушным зверям один раз в сутки внутримышечно, подкожно или внутривенно (медленно), птице – перорально с водой для поения в течение 4-5 дней в дозах, указанных в таблице: При хроническом течении болезни назначают ½ дозы </w:t>
      </w:r>
      <w:proofErr w:type="spellStart"/>
      <w:r w:rsidRPr="003F07D6">
        <w:rPr>
          <w:rFonts w:ascii="Times New Roman" w:hAnsi="Times New Roman" w:cs="Times New Roman"/>
        </w:rPr>
        <w:t>Бутафарма</w:t>
      </w:r>
      <w:proofErr w:type="spellEnd"/>
      <w:r w:rsidRPr="003F07D6">
        <w:rPr>
          <w:rFonts w:ascii="Times New Roman" w:hAnsi="Times New Roman" w:cs="Times New Roman"/>
        </w:rPr>
        <w:t>, указанной в таблице.</w:t>
      </w: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7"/>
        <w:gridCol w:w="4083"/>
      </w:tblGrid>
      <w:tr w:rsidR="003F07D6" w:rsidRPr="003F07D6" w:rsidTr="003F07D6">
        <w:trPr>
          <w:trHeight w:val="30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  <w:i/>
                <w:iCs/>
              </w:rPr>
              <w:t>Вид животного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  <w:i/>
                <w:iCs/>
              </w:rPr>
              <w:t>Доза (мл на животное)</w:t>
            </w:r>
          </w:p>
        </w:tc>
      </w:tr>
      <w:tr w:rsidR="003F07D6" w:rsidRPr="003F07D6" w:rsidTr="003F07D6">
        <w:trPr>
          <w:trHeight w:val="285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Взрослые лошади, крупный рогатый скот, верблюды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10,0 – 25,0</w:t>
            </w:r>
          </w:p>
        </w:tc>
      </w:tr>
      <w:tr w:rsidR="003F07D6" w:rsidRPr="003F07D6" w:rsidTr="003F07D6">
        <w:trPr>
          <w:trHeight w:val="30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Жеребята, телята, верблюжата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5,0 – 12,0</w:t>
            </w:r>
          </w:p>
        </w:tc>
      </w:tr>
      <w:tr w:rsidR="003F07D6" w:rsidRPr="003F07D6" w:rsidTr="003F07D6">
        <w:trPr>
          <w:trHeight w:val="45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Взрослые овцы и козы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2,5 – 8,0</w:t>
            </w:r>
          </w:p>
        </w:tc>
      </w:tr>
      <w:tr w:rsidR="003F07D6" w:rsidRPr="003F07D6" w:rsidTr="003F07D6">
        <w:trPr>
          <w:trHeight w:val="30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Ягнята, козлята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1,5 – 2,5</w:t>
            </w:r>
          </w:p>
        </w:tc>
      </w:tr>
      <w:tr w:rsidR="003F07D6" w:rsidRPr="003F07D6" w:rsidTr="003F07D6">
        <w:trPr>
          <w:trHeight w:val="30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Взрослые свиньи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2,5 – 10,0</w:t>
            </w:r>
          </w:p>
        </w:tc>
      </w:tr>
      <w:tr w:rsidR="003F07D6" w:rsidRPr="003F07D6" w:rsidTr="003F07D6">
        <w:trPr>
          <w:trHeight w:val="45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Поросята-сосуны, подсвинки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1,0 – 2,5</w:t>
            </w:r>
          </w:p>
        </w:tc>
      </w:tr>
      <w:tr w:rsidR="003F07D6" w:rsidRPr="003F07D6" w:rsidTr="003F07D6">
        <w:trPr>
          <w:trHeight w:val="30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Собаки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0,5 – 5</w:t>
            </w:r>
          </w:p>
        </w:tc>
      </w:tr>
      <w:tr w:rsidR="003F07D6" w:rsidRPr="003F07D6" w:rsidTr="003F07D6">
        <w:trPr>
          <w:trHeight w:val="30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Кошки, пушные звери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0,5 – 2,5</w:t>
            </w:r>
          </w:p>
        </w:tc>
      </w:tr>
      <w:tr w:rsidR="003F07D6" w:rsidRPr="003F07D6" w:rsidTr="003F07D6">
        <w:trPr>
          <w:trHeight w:val="45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Куры-несушки, бройлеры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2,0 – 3,0 мл на 1 л питьевой воды</w:t>
            </w:r>
          </w:p>
        </w:tc>
      </w:tr>
      <w:tr w:rsidR="003F07D6" w:rsidRPr="003F07D6" w:rsidTr="003F07D6">
        <w:trPr>
          <w:trHeight w:val="30"/>
        </w:trPr>
        <w:tc>
          <w:tcPr>
            <w:tcW w:w="5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Цыплята, ремонтный молодняк</w:t>
            </w:r>
          </w:p>
        </w:tc>
        <w:tc>
          <w:tcPr>
            <w:tcW w:w="4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3F07D6" w:rsidRDefault="003F07D6" w:rsidP="003F07D6">
            <w:pPr>
              <w:spacing w:after="0"/>
              <w:rPr>
                <w:rFonts w:ascii="Times New Roman" w:hAnsi="Times New Roman" w:cs="Times New Roman"/>
              </w:rPr>
            </w:pPr>
            <w:r w:rsidRPr="003F07D6">
              <w:rPr>
                <w:rFonts w:ascii="Times New Roman" w:hAnsi="Times New Roman" w:cs="Times New Roman"/>
              </w:rPr>
              <w:t>1,0 – 1,5 мл на 1 л питьевой воды</w:t>
            </w:r>
          </w:p>
        </w:tc>
      </w:tr>
    </w:tbl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Повторный курс лечения, при необходимости, проводят с интервалом 5-14 дней.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11. Симптомов передозировки при назначении препарата в соответствии с порядком применения не отмечается.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12. Особенностей действия </w:t>
      </w:r>
      <w:proofErr w:type="spellStart"/>
      <w:r w:rsidRPr="003F07D6">
        <w:rPr>
          <w:rFonts w:ascii="Times New Roman" w:hAnsi="Times New Roman" w:cs="Times New Roman"/>
        </w:rPr>
        <w:t>Бутафарма</w:t>
      </w:r>
      <w:proofErr w:type="spellEnd"/>
      <w:r w:rsidRPr="003F07D6">
        <w:rPr>
          <w:rFonts w:ascii="Times New Roman" w:hAnsi="Times New Roman" w:cs="Times New Roman"/>
        </w:rPr>
        <w:t xml:space="preserve"> при первом приеме или при его отмене не установлено.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13. Следует избегать пропуска очередной дозы препарата, так как это может привести к снижению терапевтической эффективности. В случае пропуска одной дозы применение препарата возобновляют в той же дозировке и по той же схеме.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14. Препарат не рекомендуется применять в период беременности и лактации.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15. Применение </w:t>
      </w:r>
      <w:proofErr w:type="spellStart"/>
      <w:r w:rsidRPr="003F07D6">
        <w:rPr>
          <w:rFonts w:ascii="Times New Roman" w:hAnsi="Times New Roman" w:cs="Times New Roman"/>
        </w:rPr>
        <w:t>Бутафарма</w:t>
      </w:r>
      <w:proofErr w:type="spellEnd"/>
      <w:r w:rsidRPr="003F07D6">
        <w:rPr>
          <w:rFonts w:ascii="Times New Roman" w:hAnsi="Times New Roman" w:cs="Times New Roman"/>
        </w:rPr>
        <w:t xml:space="preserve"> не исключает использование других лекарственных средств.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16. Убой животных на мясо и использование в пищевых целях мясопродуктов, молока и яиц во время и после применения </w:t>
      </w:r>
      <w:proofErr w:type="spellStart"/>
      <w:r w:rsidRPr="003F07D6">
        <w:rPr>
          <w:rFonts w:ascii="Times New Roman" w:hAnsi="Times New Roman" w:cs="Times New Roman"/>
        </w:rPr>
        <w:t>Бутафарма</w:t>
      </w:r>
      <w:proofErr w:type="spellEnd"/>
      <w:r w:rsidRPr="003F07D6">
        <w:rPr>
          <w:rFonts w:ascii="Times New Roman" w:hAnsi="Times New Roman" w:cs="Times New Roman"/>
        </w:rPr>
        <w:t xml:space="preserve"> разрешается без ограничений.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  <w:b/>
          <w:bCs/>
          <w:lang w:val="en-US"/>
        </w:rPr>
        <w:t>IV</w:t>
      </w:r>
      <w:r w:rsidRPr="003F07D6">
        <w:rPr>
          <w:rFonts w:ascii="Times New Roman" w:hAnsi="Times New Roman" w:cs="Times New Roman"/>
          <w:b/>
          <w:bCs/>
        </w:rPr>
        <w:t>. Меры личной профилактики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 xml:space="preserve">17. При работе с </w:t>
      </w:r>
      <w:proofErr w:type="spellStart"/>
      <w:r w:rsidRPr="003F07D6">
        <w:rPr>
          <w:rFonts w:ascii="Times New Roman" w:hAnsi="Times New Roman" w:cs="Times New Roman"/>
        </w:rPr>
        <w:t>Бутафармом</w:t>
      </w:r>
      <w:proofErr w:type="spellEnd"/>
      <w:r w:rsidRPr="003F07D6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18. При работе с препаратом запрещается пить, курить и принимать пищу. После работы с лекарственным препаратом следует вымыть руки с мылом.</w:t>
      </w:r>
    </w:p>
    <w:p w:rsidR="003F07D6" w:rsidRPr="003F07D6" w:rsidRDefault="003F07D6" w:rsidP="003F07D6">
      <w:pPr>
        <w:spacing w:after="0"/>
        <w:rPr>
          <w:rFonts w:ascii="Times New Roman" w:hAnsi="Times New Roman" w:cs="Times New Roman"/>
        </w:rPr>
      </w:pPr>
      <w:r w:rsidRPr="003F07D6">
        <w:rPr>
          <w:rFonts w:ascii="Times New Roman" w:hAnsi="Times New Roman" w:cs="Times New Roman"/>
        </w:rPr>
        <w:t>19. При попадании препарата на кожу и/или слизистые оболочки их рекомендуется промыть большим количеством проточной воды. При случайном проглатывании — дать выпить пострадавшему большое количество воды (4-5 стаканов) и вызвать рвоту. В случае появления аллергических реакций следует немедленно обратиться в медицинское учреждение (при себе иметь инструкцию по применению препарата и этикетку).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6"/>
    <w:rsid w:val="003F07D6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2019-06-20T08:35:00Z</dcterms:created>
  <dcterms:modified xsi:type="dcterms:W3CDTF">2019-06-20T08:36:00Z</dcterms:modified>
</cp:coreProperties>
</file>